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1" w:rsidRDefault="004016E1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3-2</w:t>
      </w:r>
    </w:p>
    <w:p w:rsidR="004016E1" w:rsidRPr="005A5EED" w:rsidRDefault="004016E1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5A5EED">
        <w:rPr>
          <w:rFonts w:ascii="方正小标宋简体" w:eastAsia="方正小标宋简体" w:cs="方正小标宋简体" w:hint="eastAsia"/>
          <w:kern w:val="0"/>
          <w:sz w:val="36"/>
          <w:szCs w:val="36"/>
        </w:rPr>
        <w:t>项目支出绩效自评表</w:t>
      </w:r>
    </w:p>
    <w:p w:rsidR="004016E1" w:rsidRDefault="004016E1">
      <w:pPr>
        <w:widowControl/>
        <w:jc w:val="center"/>
        <w:rPr>
          <w:rFonts w:eastAsia="仿宋_GB2312"/>
          <w:kern w:val="0"/>
        </w:rPr>
      </w:pPr>
      <w:r>
        <w:rPr>
          <w:rFonts w:eastAsia="仿宋_GB2312" w:cs="仿宋_GB2312" w:hint="eastAsia"/>
          <w:kern w:val="0"/>
        </w:rPr>
        <w:t>（</w:t>
      </w:r>
      <w:r>
        <w:rPr>
          <w:rFonts w:eastAsia="仿宋_GB2312"/>
          <w:kern w:val="0"/>
        </w:rPr>
        <w:t>2020</w:t>
      </w:r>
      <w:r>
        <w:rPr>
          <w:rFonts w:eastAsia="仿宋_GB2312" w:cs="仿宋_GB2312" w:hint="eastAsia"/>
          <w:kern w:val="0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080"/>
        <w:gridCol w:w="1080"/>
        <w:gridCol w:w="1149"/>
        <w:gridCol w:w="1235"/>
        <w:gridCol w:w="1110"/>
        <w:gridCol w:w="735"/>
        <w:gridCol w:w="964"/>
        <w:gridCol w:w="1418"/>
      </w:tblGrid>
      <w:tr w:rsidR="004016E1">
        <w:trPr>
          <w:trHeight w:val="720"/>
          <w:jc w:val="center"/>
        </w:trPr>
        <w:tc>
          <w:tcPr>
            <w:tcW w:w="1080" w:type="dxa"/>
            <w:vAlign w:val="center"/>
          </w:tcPr>
          <w:p w:rsidR="004016E1" w:rsidRDefault="004016E1">
            <w:pPr>
              <w:widowControl/>
              <w:spacing w:line="2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项目支</w:t>
            </w:r>
          </w:p>
          <w:p w:rsidR="004016E1" w:rsidRDefault="004016E1">
            <w:pPr>
              <w:widowControl/>
              <w:spacing w:line="2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省级专项体育彩票公益金</w:t>
            </w:r>
          </w:p>
        </w:tc>
      </w:tr>
      <w:tr w:rsidR="004016E1">
        <w:trPr>
          <w:trHeight w:val="340"/>
          <w:jc w:val="center"/>
        </w:trPr>
        <w:tc>
          <w:tcPr>
            <w:tcW w:w="108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主管部门</w:t>
            </w:r>
          </w:p>
        </w:tc>
        <w:tc>
          <w:tcPr>
            <w:tcW w:w="4544" w:type="dxa"/>
            <w:gridSpan w:val="4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湖南省妇女联合会会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实施单位</w:t>
            </w:r>
          </w:p>
        </w:tc>
        <w:tc>
          <w:tcPr>
            <w:tcW w:w="3117" w:type="dxa"/>
            <w:gridSpan w:val="3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湖南省妇女儿童发展基金会办公室</w:t>
            </w:r>
          </w:p>
        </w:tc>
      </w:tr>
      <w:tr w:rsidR="004016E1">
        <w:trPr>
          <w:trHeight w:val="599"/>
          <w:jc w:val="center"/>
        </w:trPr>
        <w:tc>
          <w:tcPr>
            <w:tcW w:w="1080" w:type="dxa"/>
            <w:vMerge w:val="restart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项目资金</w:t>
            </w:r>
            <w:r>
              <w:rPr>
                <w:rFonts w:eastAsia="仿宋_GB2312"/>
                <w:kern w:val="0"/>
              </w:rPr>
              <w:br/>
            </w:r>
            <w:r>
              <w:rPr>
                <w:rFonts w:eastAsia="仿宋_GB2312" w:cs="仿宋_GB2312" w:hint="eastAsia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年初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预算数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全年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预算数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全年</w:t>
            </w:r>
          </w:p>
          <w:p w:rsidR="004016E1" w:rsidRDefault="004016E1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执行数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分值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得分</w:t>
            </w:r>
          </w:p>
        </w:tc>
      </w:tr>
      <w:tr w:rsidR="004016E1">
        <w:trPr>
          <w:trHeight w:val="495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263.57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223.05</w:t>
            </w: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84.63%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8.46</w:t>
            </w:r>
          </w:p>
        </w:tc>
      </w:tr>
      <w:tr w:rsidR="004016E1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200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4016E1">
        <w:trPr>
          <w:trHeight w:val="495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16E1" w:rsidRDefault="004016E1" w:rsidP="004016E1">
            <w:pPr>
              <w:widowControl/>
              <w:ind w:firstLineChars="300" w:firstLine="3168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63.57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4016E1">
        <w:trPr>
          <w:trHeight w:val="45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16E1" w:rsidRDefault="004016E1" w:rsidP="004016E1">
            <w:pPr>
              <w:widowControl/>
              <w:ind w:firstLineChars="300" w:firstLine="3168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4016E1">
        <w:trPr>
          <w:trHeight w:val="540"/>
          <w:jc w:val="center"/>
        </w:trPr>
        <w:tc>
          <w:tcPr>
            <w:tcW w:w="1080" w:type="dxa"/>
            <w:vMerge w:val="restart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年度总体目标</w:t>
            </w:r>
          </w:p>
        </w:tc>
        <w:tc>
          <w:tcPr>
            <w:tcW w:w="4544" w:type="dxa"/>
            <w:gridSpan w:val="4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预期目标</w:t>
            </w:r>
          </w:p>
        </w:tc>
        <w:tc>
          <w:tcPr>
            <w:tcW w:w="4227" w:type="dxa"/>
            <w:gridSpan w:val="4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实际完成情况　</w:t>
            </w:r>
          </w:p>
        </w:tc>
      </w:tr>
      <w:tr w:rsidR="004016E1">
        <w:trPr>
          <w:trHeight w:val="7421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4544" w:type="dxa"/>
            <w:gridSpan w:val="4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  <w:sz w:val="18"/>
                <w:szCs w:val="18"/>
              </w:rPr>
              <w:t>为有效缓解农村留守儿童心理健康问题，探索政府购买社会服务的发展模式，推动各级党委政府出台关爱农村留守儿童的相关政策，逐步形成和完善农村留守儿童心理健康关爱服务体系。</w:t>
            </w:r>
          </w:p>
        </w:tc>
        <w:tc>
          <w:tcPr>
            <w:tcW w:w="4227" w:type="dxa"/>
            <w:gridSpan w:val="4"/>
            <w:vAlign w:val="center"/>
          </w:tcPr>
          <w:p w:rsidR="004016E1" w:rsidRDefault="004016E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 w:hAnsi="宋体"/>
                <w:kern w:val="0"/>
                <w:lang w:val="zh-TW" w:eastAsia="zh-TW"/>
              </w:rPr>
            </w:pPr>
            <w:r>
              <w:rPr>
                <w:rFonts w:eastAsia="仿宋_GB2312" w:hAnsi="宋体" w:cs="仿宋_GB2312" w:hint="eastAsia"/>
                <w:kern w:val="0"/>
              </w:rPr>
              <w:t>总结促进。召开了第五届知心屋项目总结推进会。项目点负责人、社会心理工作者、专职教师等近</w:t>
            </w:r>
            <w:r>
              <w:rPr>
                <w:rFonts w:eastAsia="仿宋_GB2312" w:hAnsi="宋体"/>
                <w:kern w:val="0"/>
              </w:rPr>
              <w:t>430</w:t>
            </w:r>
            <w:r>
              <w:rPr>
                <w:rFonts w:eastAsia="仿宋_GB2312" w:hAnsi="宋体" w:cs="仿宋_GB2312" w:hint="eastAsia"/>
                <w:kern w:val="0"/>
              </w:rPr>
              <w:t>人参加总推会，总结项目、表彰先进、结题仪式、经验交流、校园心理剧观摩。</w:t>
            </w:r>
          </w:p>
          <w:p w:rsidR="004016E1" w:rsidRDefault="004016E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 w:hAnsi="宋体"/>
                <w:kern w:val="0"/>
                <w:lang w:val="zh-TW" w:eastAsia="zh-TW"/>
              </w:rPr>
            </w:pP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队伍培训</w:t>
            </w:r>
            <w:r>
              <w:rPr>
                <w:rFonts w:eastAsia="仿宋_GB2312" w:hAnsi="宋体" w:cs="仿宋_GB2312" w:hint="eastAsia"/>
                <w:kern w:val="0"/>
                <w:lang w:val="zh-TW"/>
              </w:rPr>
              <w:t>。</w:t>
            </w:r>
            <w:r>
              <w:rPr>
                <w:rFonts w:eastAsia="仿宋_GB2312" w:hAnsi="宋体" w:cs="仿宋_GB2312" w:hint="eastAsia"/>
                <w:kern w:val="0"/>
              </w:rPr>
              <w:t>举办了第十期技能培训班，项目点负责人、社会心理工作者、专职教师等近</w:t>
            </w:r>
            <w:r>
              <w:rPr>
                <w:rFonts w:eastAsia="仿宋_GB2312" w:hAnsi="宋体"/>
                <w:kern w:val="0"/>
              </w:rPr>
              <w:t>200</w:t>
            </w:r>
            <w:r>
              <w:rPr>
                <w:rFonts w:eastAsia="仿宋_GB2312" w:hAnsi="宋体" w:cs="仿宋_GB2312" w:hint="eastAsia"/>
                <w:kern w:val="0"/>
              </w:rPr>
              <w:t>人参加，邀请知名教授讲课。</w:t>
            </w:r>
          </w:p>
          <w:p w:rsidR="004016E1" w:rsidRDefault="004016E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 w:hAnsi="宋体"/>
                <w:kern w:val="0"/>
                <w:lang w:val="zh-TW" w:eastAsia="zh-TW"/>
              </w:rPr>
            </w:pP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收集</w:t>
            </w:r>
            <w:r>
              <w:rPr>
                <w:rFonts w:eastAsia="仿宋_GB2312" w:hAnsi="宋体"/>
                <w:kern w:val="0"/>
                <w:lang w:val="zh-TW" w:eastAsia="zh-TW"/>
              </w:rPr>
              <w:t>7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年来项目执行典型案例，联合清华大学共同编纂整理了《湖南省留守儿童心理辅导指南》、《湖南省留守儿童</w:t>
            </w:r>
            <w:r>
              <w:rPr>
                <w:rFonts w:eastAsia="仿宋_GB2312" w:hAnsi="宋体" w:cs="仿宋_GB2312" w:hint="eastAsia"/>
                <w:kern w:val="0"/>
                <w:lang w:val="zh-TW"/>
              </w:rPr>
              <w:t>心理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辅导案例集》</w:t>
            </w:r>
            <w:r>
              <w:rPr>
                <w:rFonts w:eastAsia="仿宋_GB2312" w:hAnsi="宋体" w:cs="仿宋_GB2312" w:hint="eastAsia"/>
                <w:kern w:val="0"/>
                <w:lang w:val="zh-TW"/>
              </w:rPr>
              <w:t>。</w:t>
            </w:r>
          </w:p>
          <w:p w:rsidR="004016E1" w:rsidRDefault="004016E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 w:hAnsi="宋体"/>
                <w:kern w:val="0"/>
                <w:lang w:val="zh-TW" w:eastAsia="zh-TW"/>
              </w:rPr>
            </w:pPr>
            <w:r>
              <w:rPr>
                <w:rFonts w:eastAsia="仿宋_GB2312" w:hAnsi="宋体" w:cs="仿宋_GB2312" w:hint="eastAsia"/>
                <w:kern w:val="0"/>
                <w:lang w:val="zh-TW"/>
              </w:rPr>
              <w:t>加强督查</w:t>
            </w:r>
            <w:bookmarkStart w:id="0" w:name="_GoBack"/>
            <w:bookmarkEnd w:id="0"/>
            <w:r>
              <w:rPr>
                <w:rFonts w:eastAsia="仿宋_GB2312" w:hAnsi="宋体" w:cs="仿宋_GB2312" w:hint="eastAsia"/>
                <w:kern w:val="0"/>
                <w:lang w:val="zh-TW"/>
              </w:rPr>
              <w:t>。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对“知心屋”</w:t>
            </w:r>
            <w:r>
              <w:rPr>
                <w:rFonts w:eastAsia="仿宋_GB2312" w:hAnsi="宋体"/>
                <w:kern w:val="0"/>
                <w:lang w:val="zh-TW" w:eastAsia="zh-TW"/>
              </w:rPr>
              <w:t>100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个项目学校启动了年</w:t>
            </w:r>
            <w:r>
              <w:rPr>
                <w:rFonts w:eastAsia="仿宋_GB2312" w:hAnsi="宋体" w:cs="仿宋_GB2312" w:hint="eastAsia"/>
                <w:kern w:val="0"/>
                <w:lang w:val="zh-TW"/>
              </w:rPr>
              <w:t>度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考核，督促各市州对项目县区妇联、学校、妇女之家开展考核工作，各项目县区妇联结合工作实际情况提交了考核报告</w:t>
            </w:r>
            <w:r>
              <w:rPr>
                <w:rFonts w:eastAsia="仿宋_GB2312" w:hAnsi="宋体" w:cs="仿宋_GB2312" w:hint="eastAsia"/>
                <w:kern w:val="0"/>
                <w:lang w:val="zh-TW"/>
              </w:rPr>
              <w:t>，各市州妇联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根据项目单位的自查情况和县市区妇联的考核报告进行全市范围内</w:t>
            </w:r>
            <w:r>
              <w:rPr>
                <w:rFonts w:eastAsia="仿宋_GB2312" w:hAnsi="宋体" w:cs="仿宋_GB2312" w:hint="eastAsia"/>
                <w:kern w:val="0"/>
                <w:lang w:val="zh-TW"/>
              </w:rPr>
              <w:t>年度工作排位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。</w:t>
            </w:r>
            <w:r>
              <w:rPr>
                <w:rFonts w:eastAsia="仿宋_GB2312" w:hAnsi="宋体" w:cs="仿宋_GB2312" w:hint="eastAsia"/>
                <w:kern w:val="0"/>
              </w:rPr>
              <w:t>分别赴长沙浏阳、宁乡、衡南县开展项目实施情况督查。</w:t>
            </w:r>
          </w:p>
          <w:p w:rsidR="004016E1" w:rsidRDefault="004016E1">
            <w:pPr>
              <w:widowControl/>
              <w:numPr>
                <w:ilvl w:val="0"/>
                <w:numId w:val="1"/>
              </w:numPr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该项目</w:t>
            </w:r>
            <w:r>
              <w:rPr>
                <w:rFonts w:eastAsia="仿宋_GB2312" w:hAnsi="宋体"/>
                <w:kern w:val="0"/>
                <w:lang w:val="zh-TW" w:eastAsia="zh-TW"/>
              </w:rPr>
              <w:t>2020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年获第十一届中华慈善奖提名并</w:t>
            </w:r>
            <w:r>
              <w:rPr>
                <w:rFonts w:eastAsia="仿宋_GB2312" w:hAnsi="宋体" w:cs="仿宋_GB2312" w:hint="eastAsia"/>
                <w:kern w:val="0"/>
              </w:rPr>
              <w:t>获得</w:t>
            </w:r>
            <w:r>
              <w:rPr>
                <w:rFonts w:eastAsia="仿宋_GB2312" w:hAnsi="宋体" w:cs="仿宋_GB2312" w:hint="eastAsia"/>
                <w:kern w:val="0"/>
                <w:lang w:val="zh-TW" w:eastAsia="zh-TW"/>
              </w:rPr>
              <w:t>了湖南省慈善奖。</w:t>
            </w:r>
          </w:p>
        </w:tc>
      </w:tr>
      <w:tr w:rsidR="004016E1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绩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效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指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标</w:t>
            </w:r>
          </w:p>
        </w:tc>
        <w:tc>
          <w:tcPr>
            <w:tcW w:w="1080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三级指标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年度</w:t>
            </w:r>
          </w:p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指标值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实际</w:t>
            </w:r>
          </w:p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完成值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分值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得分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偏差原因</w:t>
            </w:r>
          </w:p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分析及</w:t>
            </w:r>
          </w:p>
          <w:p w:rsidR="004016E1" w:rsidRDefault="004016E1">
            <w:pPr>
              <w:widowControl/>
              <w:spacing w:line="24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改进措施</w:t>
            </w:r>
          </w:p>
        </w:tc>
      </w:tr>
      <w:tr w:rsidR="004016E1">
        <w:trPr>
          <w:trHeight w:val="714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产出指标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(50</w:t>
            </w:r>
            <w:r>
              <w:rPr>
                <w:rFonts w:eastAsia="仿宋_GB2312" w:cs="仿宋_GB2312" w:hint="eastAsia"/>
                <w:kern w:val="0"/>
              </w:rPr>
              <w:t>分</w:t>
            </w:r>
            <w:r>
              <w:rPr>
                <w:rFonts w:eastAsia="仿宋_GB2312"/>
                <w:kern w:val="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开展团体辅导活动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每年≥</w:t>
            </w:r>
            <w:r>
              <w:rPr>
                <w:rFonts w:eastAsia="仿宋_GB2312" w:hAnsi="宋体"/>
                <w:kern w:val="0"/>
              </w:rPr>
              <w:t>1000</w:t>
            </w:r>
            <w:r>
              <w:rPr>
                <w:rFonts w:eastAsia="仿宋_GB2312" w:hAnsi="宋体" w:cs="仿宋_GB2312" w:hint="eastAsia"/>
                <w:kern w:val="0"/>
              </w:rPr>
              <w:t>场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1152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4016E1">
        <w:trPr>
          <w:trHeight w:val="38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个案辅导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每年≥</w:t>
            </w:r>
            <w:r>
              <w:rPr>
                <w:rFonts w:eastAsia="仿宋_GB2312"/>
                <w:kern w:val="0"/>
              </w:rPr>
              <w:t>5000</w:t>
            </w:r>
            <w:r>
              <w:rPr>
                <w:rFonts w:eastAsia="仿宋_GB2312" w:cs="仿宋_GB2312" w:hint="eastAsia"/>
                <w:kern w:val="0"/>
              </w:rPr>
              <w:t>人次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10226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4016E1">
        <w:trPr>
          <w:trHeight w:val="38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心理健康知识讲座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每年≥</w:t>
            </w:r>
            <w:r>
              <w:rPr>
                <w:rFonts w:eastAsia="仿宋_GB2312"/>
                <w:kern w:val="0"/>
              </w:rPr>
              <w:t>500</w:t>
            </w:r>
            <w:r>
              <w:rPr>
                <w:rFonts w:eastAsia="仿宋_GB2312" w:cs="仿宋_GB2312" w:hint="eastAsia"/>
                <w:kern w:val="0"/>
              </w:rPr>
              <w:t>场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513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4016E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项目经验总结推广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项目交流推进会≥</w:t>
            </w:r>
            <w:r>
              <w:rPr>
                <w:rFonts w:eastAsia="仿宋_GB2312"/>
                <w:kern w:val="0"/>
              </w:rPr>
              <w:t>1</w:t>
            </w:r>
            <w:r>
              <w:rPr>
                <w:rFonts w:eastAsia="仿宋_GB2312" w:cs="仿宋_GB2312" w:hint="eastAsia"/>
                <w:kern w:val="0"/>
              </w:rPr>
              <w:t>次；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专业培训≥</w:t>
            </w:r>
            <w:r>
              <w:rPr>
                <w:rFonts w:eastAsia="仿宋_GB2312"/>
                <w:kern w:val="0"/>
              </w:rPr>
              <w:t>1</w:t>
            </w:r>
            <w:r>
              <w:rPr>
                <w:rFonts w:eastAsia="仿宋_GB2312" w:cs="仿宋_GB2312" w:hint="eastAsia"/>
                <w:kern w:val="0"/>
              </w:rPr>
              <w:t>次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已完成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4016E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效益指标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30</w:t>
            </w:r>
            <w:r>
              <w:rPr>
                <w:rFonts w:eastAsia="仿宋_GB2312" w:cs="仿宋_GB2312" w:hint="eastAsia"/>
                <w:kern w:val="0"/>
              </w:rPr>
              <w:t xml:space="preserve">分）　</w:t>
            </w:r>
          </w:p>
        </w:tc>
        <w:tc>
          <w:tcPr>
            <w:tcW w:w="108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社会效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益指标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 w:hAnsi="宋体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关爱留守儿童人次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 w:hAnsi="宋体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每年≥</w:t>
            </w:r>
            <w:r>
              <w:rPr>
                <w:rFonts w:eastAsia="仿宋_GB2312" w:hAnsi="宋体"/>
                <w:kern w:val="0"/>
              </w:rPr>
              <w:t>10</w:t>
            </w:r>
            <w:r>
              <w:rPr>
                <w:rFonts w:eastAsia="仿宋_GB2312" w:hAnsi="宋体" w:cs="仿宋_GB2312" w:hint="eastAsia"/>
                <w:kern w:val="0"/>
              </w:rPr>
              <w:t>万人次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12</w:t>
            </w:r>
            <w:r>
              <w:rPr>
                <w:rFonts w:eastAsia="仿宋_GB2312" w:cs="仿宋_GB2312" w:hint="eastAsia"/>
                <w:kern w:val="0"/>
              </w:rPr>
              <w:t>万人次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30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</w:tr>
      <w:tr w:rsidR="004016E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016E1" w:rsidRDefault="004016E1">
            <w:pPr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满意度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指标</w:t>
            </w:r>
          </w:p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10</w:t>
            </w:r>
            <w:r>
              <w:rPr>
                <w:rFonts w:eastAsia="仿宋_GB2312" w:cs="仿宋_GB2312" w:hint="eastAsia"/>
                <w:kern w:val="0"/>
              </w:rPr>
              <w:t>分）</w:t>
            </w:r>
          </w:p>
        </w:tc>
        <w:tc>
          <w:tcPr>
            <w:tcW w:w="1080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 w:hAnsi="宋体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满意度</w:t>
            </w:r>
          </w:p>
        </w:tc>
        <w:tc>
          <w:tcPr>
            <w:tcW w:w="12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 w:hAnsi="宋体"/>
                <w:kern w:val="0"/>
              </w:rPr>
            </w:pPr>
            <w:r>
              <w:rPr>
                <w:rFonts w:eastAsia="仿宋_GB2312" w:hAnsi="宋体" w:cs="仿宋_GB2312" w:hint="eastAsia"/>
                <w:kern w:val="0"/>
              </w:rPr>
              <w:t>满意度≥</w:t>
            </w:r>
            <w:r>
              <w:rPr>
                <w:rFonts w:eastAsia="仿宋_GB2312" w:hAnsi="宋体"/>
                <w:kern w:val="0"/>
              </w:rPr>
              <w:t>99%</w:t>
            </w:r>
          </w:p>
        </w:tc>
        <w:tc>
          <w:tcPr>
            <w:tcW w:w="1110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已达标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  <w:tr w:rsidR="004016E1">
        <w:trPr>
          <w:trHeight w:val="340"/>
          <w:jc w:val="center"/>
        </w:trPr>
        <w:tc>
          <w:tcPr>
            <w:tcW w:w="6734" w:type="dxa"/>
            <w:gridSpan w:val="6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>总分</w:t>
            </w:r>
          </w:p>
        </w:tc>
        <w:tc>
          <w:tcPr>
            <w:tcW w:w="735" w:type="dxa"/>
            <w:vAlign w:val="center"/>
          </w:tcPr>
          <w:p w:rsidR="004016E1" w:rsidRDefault="004016E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100</w:t>
            </w:r>
          </w:p>
        </w:tc>
        <w:tc>
          <w:tcPr>
            <w:tcW w:w="964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  <w:r>
              <w:rPr>
                <w:rFonts w:eastAsia="仿宋_GB2312"/>
                <w:kern w:val="0"/>
              </w:rPr>
              <w:t>98.46</w:t>
            </w:r>
          </w:p>
        </w:tc>
        <w:tc>
          <w:tcPr>
            <w:tcW w:w="1418" w:type="dxa"/>
            <w:vAlign w:val="center"/>
          </w:tcPr>
          <w:p w:rsidR="004016E1" w:rsidRDefault="004016E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 w:cs="仿宋_GB2312" w:hint="eastAsia"/>
                <w:kern w:val="0"/>
              </w:rPr>
              <w:t xml:space="preserve">　</w:t>
            </w:r>
          </w:p>
        </w:tc>
      </w:tr>
    </w:tbl>
    <w:p w:rsidR="004016E1" w:rsidRDefault="004016E1"/>
    <w:sectPr w:rsidR="004016E1" w:rsidSect="009F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E1" w:rsidRDefault="004016E1" w:rsidP="00914F4E">
      <w:r>
        <w:separator/>
      </w:r>
    </w:p>
  </w:endnote>
  <w:endnote w:type="continuationSeparator" w:id="1">
    <w:p w:rsidR="004016E1" w:rsidRDefault="004016E1" w:rsidP="0091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E1" w:rsidRDefault="004016E1" w:rsidP="00914F4E">
      <w:r>
        <w:separator/>
      </w:r>
    </w:p>
  </w:footnote>
  <w:footnote w:type="continuationSeparator" w:id="1">
    <w:p w:rsidR="004016E1" w:rsidRDefault="004016E1" w:rsidP="0091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E0FB"/>
    <w:multiLevelType w:val="singleLevel"/>
    <w:tmpl w:val="6E89E0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D80B94"/>
    <w:rsid w:val="004016E1"/>
    <w:rsid w:val="005829BE"/>
    <w:rsid w:val="005A5EED"/>
    <w:rsid w:val="008B3D58"/>
    <w:rsid w:val="00914F4E"/>
    <w:rsid w:val="009F0D7E"/>
    <w:rsid w:val="00F74145"/>
    <w:rsid w:val="00FD639A"/>
    <w:rsid w:val="080066C6"/>
    <w:rsid w:val="38394E98"/>
    <w:rsid w:val="385051D1"/>
    <w:rsid w:val="417D67B9"/>
    <w:rsid w:val="425414D1"/>
    <w:rsid w:val="44C84A20"/>
    <w:rsid w:val="63D80B94"/>
    <w:rsid w:val="7FAA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4F4E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4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4F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159</Words>
  <Characters>908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cp:lastPrinted>2021-05-27T07:10:00Z</cp:lastPrinted>
  <dcterms:created xsi:type="dcterms:W3CDTF">2021-05-10T08:42:00Z</dcterms:created>
  <dcterms:modified xsi:type="dcterms:W3CDTF">2021-05-27T07:10:00Z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8DEB04E4243543F1A48F59AE8F42DADD</vt:lpwstr>
  </property>
  <property fmtid="{D5CDD505-2E9C-101B-9397-08002B2CF9AE}" pid="4" name="KSOSaveFontToCloudKey">
    <vt:lpwstr>478191048_btnclosed</vt:lpwstr>
  </property>
</Properties>
</file>